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widowControl w:val="1"/>
        <w:spacing w:after="0" w:line="240" w:lineRule="auto"/>
        <w:ind w:firstLine="709"/>
        <w:jc w:val="right"/>
        <w:rPr>
          <w:b w:val="1"/>
          <w:sz w:val="20"/>
        </w:rPr>
      </w:pPr>
    </w:p>
    <w:p w14:paraId="02000000">
      <w:pPr>
        <w:widowControl w:val="1"/>
        <w:spacing w:after="0" w:line="240" w:lineRule="auto"/>
        <w:ind/>
        <w:jc w:val="center"/>
        <w:rPr>
          <w:b w:val="1"/>
        </w:rPr>
      </w:pPr>
      <w:r>
        <w:rPr>
          <w:b w:val="1"/>
        </w:rPr>
        <w:t xml:space="preserve">Анкета оценки удовлетворенности участника </w:t>
      </w:r>
    </w:p>
    <w:p w14:paraId="03000000">
      <w:pPr>
        <w:widowControl w:val="1"/>
        <w:spacing w:after="0" w:line="240" w:lineRule="auto"/>
        <w:ind/>
        <w:jc w:val="center"/>
        <w:rPr>
          <w:b w:val="1"/>
        </w:rPr>
      </w:pPr>
    </w:p>
    <w:tbl>
      <w:tblPr>
        <w:tblStyle w:val="Style_1"/>
        <w:tblW w:type="auto" w:w="0"/>
        <w:jc w:val="center"/>
        <w:tblLayout w:type="fixed"/>
      </w:tblPr>
      <w:tblGrid>
        <w:gridCol w:w="3256"/>
        <w:gridCol w:w="6098"/>
        <w:gridCol w:w="851"/>
      </w:tblGrid>
      <w:tr>
        <w:trPr>
          <w:trHeight w:hRule="atLeast" w:val="276"/>
        </w:trPr>
        <w:tc>
          <w:tcPr>
            <w:tcW w:type="dxa" w:w="10205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4000000">
            <w:pPr>
              <w:widowControl w:val="1"/>
              <w:ind/>
              <w:contextualSpacing w:val="1"/>
              <w:rPr>
                <w:color w:val="000000"/>
              </w:rPr>
            </w:pPr>
            <w:r>
              <w:rPr>
                <w:color w:val="000000"/>
              </w:rPr>
              <w:t>Сведения об удовлетворенности оказанной услугой:</w:t>
            </w:r>
          </w:p>
        </w:tc>
      </w:tr>
      <w:tr>
        <w:trPr>
          <w:trHeight w:hRule="atLeast" w:val="276"/>
        </w:trPr>
        <w:tc>
          <w:tcPr>
            <w:tcW w:type="dxa" w:w="325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5000000">
            <w:pPr>
              <w:widowControl w:val="1"/>
              <w:ind/>
              <w:contextualSpacing w:val="1"/>
              <w:rPr>
                <w:color w:val="000000"/>
              </w:rPr>
            </w:pPr>
            <w:r>
              <w:rPr>
                <w:color w:val="000000"/>
              </w:rPr>
              <w:t>Раунд № ___ программы ПК/МСИ №____ 20__</w:t>
            </w:r>
          </w:p>
        </w:tc>
        <w:tc>
          <w:tcPr>
            <w:tcW w:type="dxa" w:w="6949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6000000">
            <w:pPr>
              <w:widowControl w:val="1"/>
              <w:ind/>
              <w:contextualSpacing w:val="1"/>
              <w:rPr>
                <w:color w:val="000000"/>
              </w:rPr>
            </w:pPr>
          </w:p>
        </w:tc>
      </w:tr>
      <w:tr>
        <w:trPr>
          <w:trHeight w:hRule="atLeast" w:val="348"/>
        </w:trPr>
        <w:tc>
          <w:tcPr>
            <w:tcW w:type="dxa" w:w="3256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7000000">
            <w:pPr>
              <w:widowControl w:val="1"/>
              <w:ind/>
              <w:contextualSpacing w:val="1"/>
              <w:rPr>
                <w:color w:val="000000"/>
              </w:rPr>
            </w:pPr>
            <w:r>
              <w:rPr>
                <w:color w:val="000000"/>
              </w:rPr>
              <w:t>Оцените удовлетворенность приобретенной услуги:</w:t>
            </w:r>
          </w:p>
          <w:p w14:paraId="08000000">
            <w:pPr>
              <w:widowControl w:val="1"/>
              <w:ind/>
              <w:contextualSpacing w:val="1"/>
              <w:rPr>
                <w:color w:val="000000"/>
              </w:rPr>
            </w:pPr>
            <w:r>
              <w:rPr>
                <w:color w:val="000000"/>
              </w:rPr>
              <w:t>1 - очень плохо</w:t>
            </w:r>
          </w:p>
          <w:p w14:paraId="09000000">
            <w:pPr>
              <w:widowControl w:val="1"/>
              <w:ind/>
              <w:contextualSpacing w:val="1"/>
              <w:rPr>
                <w:color w:val="000000"/>
              </w:rPr>
            </w:pPr>
            <w:r>
              <w:rPr>
                <w:color w:val="000000"/>
              </w:rPr>
              <w:t>2 - неудовлетворительно</w:t>
            </w:r>
          </w:p>
          <w:p w14:paraId="0A000000">
            <w:pPr>
              <w:widowControl w:val="1"/>
              <w:ind/>
              <w:contextualSpacing w:val="1"/>
              <w:rPr>
                <w:color w:val="000000"/>
              </w:rPr>
            </w:pPr>
            <w:r>
              <w:rPr>
                <w:color w:val="000000"/>
              </w:rPr>
              <w:t>3 - удовлетворительно</w:t>
            </w:r>
          </w:p>
          <w:p w14:paraId="0B000000">
            <w:pPr>
              <w:widowControl w:val="1"/>
              <w:ind/>
              <w:contextualSpacing w:val="1"/>
              <w:rPr>
                <w:color w:val="000000"/>
              </w:rPr>
            </w:pPr>
            <w:r>
              <w:rPr>
                <w:color w:val="000000"/>
              </w:rPr>
              <w:t>4 - хорошо</w:t>
            </w:r>
          </w:p>
          <w:p w14:paraId="0C000000">
            <w:pPr>
              <w:widowControl w:val="1"/>
              <w:ind/>
              <w:contextualSpacing w:val="1"/>
              <w:rPr>
                <w:color w:val="000000"/>
              </w:rPr>
            </w:pPr>
            <w:r>
              <w:rPr>
                <w:color w:val="000000"/>
              </w:rPr>
              <w:t xml:space="preserve">5 - очень хорошо  </w:t>
            </w:r>
          </w:p>
          <w:p w14:paraId="0D000000">
            <w:pPr>
              <w:widowControl w:val="1"/>
              <w:ind/>
              <w:contextualSpacing w:val="1"/>
              <w:rPr>
                <w:color w:val="000000"/>
              </w:rPr>
            </w:pPr>
          </w:p>
        </w:tc>
        <w:tc>
          <w:tcPr>
            <w:tcW w:type="dxa" w:w="609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E000000">
            <w:pPr>
              <w:widowControl w:val="1"/>
              <w:ind/>
              <w:contextualSpacing w:val="1"/>
              <w:rPr>
                <w:color w:val="000000"/>
              </w:rPr>
            </w:pPr>
            <w:r>
              <w:rPr>
                <w:color w:val="000000"/>
              </w:rPr>
              <w:t xml:space="preserve">Полнота, удобство, доступность информации на сайте 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F000000">
            <w:pPr>
              <w:widowControl w:val="1"/>
              <w:ind/>
              <w:contextualSpacing w:val="1"/>
              <w:rPr>
                <w:color w:val="000000"/>
              </w:rPr>
            </w:pPr>
          </w:p>
        </w:tc>
      </w:tr>
      <w:tr>
        <w:trPr>
          <w:trHeight w:hRule="atLeast" w:val="276"/>
        </w:trPr>
        <w:tc>
          <w:tcPr>
            <w:tcW w:type="dxa" w:w="3256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/>
        </w:tc>
        <w:tc>
          <w:tcPr>
            <w:tcW w:type="dxa" w:w="609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0000000">
            <w:pPr>
              <w:widowControl w:val="1"/>
              <w:ind/>
              <w:contextualSpacing w:val="1"/>
              <w:rPr>
                <w:color w:val="000000"/>
              </w:rPr>
            </w:pPr>
            <w:r>
              <w:rPr>
                <w:color w:val="000000"/>
              </w:rPr>
              <w:t xml:space="preserve">Быстрота реагирования на запросы 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1000000">
            <w:pPr>
              <w:widowControl w:val="1"/>
              <w:ind/>
              <w:contextualSpacing w:val="1"/>
              <w:rPr>
                <w:color w:val="000000"/>
              </w:rPr>
            </w:pPr>
          </w:p>
        </w:tc>
      </w:tr>
      <w:tr>
        <w:trPr>
          <w:trHeight w:hRule="atLeast" w:val="276"/>
        </w:trPr>
        <w:tc>
          <w:tcPr>
            <w:tcW w:type="dxa" w:w="3256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/>
        </w:tc>
        <w:tc>
          <w:tcPr>
            <w:tcW w:type="dxa" w:w="609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2000000">
            <w:pPr>
              <w:widowControl w:val="1"/>
              <w:ind/>
              <w:contextualSpacing w:val="1"/>
              <w:rPr>
                <w:color w:val="000000"/>
              </w:rPr>
            </w:pPr>
            <w:r>
              <w:rPr>
                <w:color w:val="000000"/>
              </w:rPr>
              <w:t>Удобство согласования и заключения договора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3000000">
            <w:pPr>
              <w:widowControl w:val="1"/>
              <w:ind/>
              <w:contextualSpacing w:val="1"/>
              <w:rPr>
                <w:color w:val="000000"/>
              </w:rPr>
            </w:pPr>
          </w:p>
        </w:tc>
      </w:tr>
      <w:tr>
        <w:trPr>
          <w:trHeight w:hRule="atLeast" w:val="276"/>
        </w:trPr>
        <w:tc>
          <w:tcPr>
            <w:tcW w:type="dxa" w:w="3256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/>
        </w:tc>
        <w:tc>
          <w:tcPr>
            <w:tcW w:type="dxa" w:w="609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4000000">
            <w:pPr>
              <w:widowControl w:val="1"/>
              <w:ind/>
              <w:contextualSpacing w:val="1"/>
              <w:rPr>
                <w:color w:val="000000"/>
              </w:rPr>
            </w:pPr>
            <w:r>
              <w:rPr>
                <w:color w:val="000000"/>
              </w:rPr>
              <w:t>Удобство транспортирования образец</w:t>
            </w:r>
            <w:r>
              <w:rPr>
                <w:color w:val="000000"/>
              </w:rPr>
              <w:t>а</w:t>
            </w:r>
            <w:r>
              <w:rPr>
                <w:color w:val="000000"/>
              </w:rPr>
              <w:t xml:space="preserve"> ПК/МСИ</w:t>
            </w:r>
            <w:r>
              <w:rPr>
                <w:color w:val="000000"/>
                <w:vertAlign w:val="superscript"/>
              </w:rPr>
              <w:t>2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5000000">
            <w:pPr>
              <w:widowControl w:val="1"/>
              <w:ind/>
              <w:contextualSpacing w:val="1"/>
              <w:rPr>
                <w:color w:val="000000"/>
              </w:rPr>
            </w:pPr>
          </w:p>
        </w:tc>
      </w:tr>
      <w:tr>
        <w:trPr>
          <w:trHeight w:hRule="atLeast" w:val="276"/>
        </w:trPr>
        <w:tc>
          <w:tcPr>
            <w:tcW w:type="dxa" w:w="3256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/>
        </w:tc>
        <w:tc>
          <w:tcPr>
            <w:tcW w:type="dxa" w:w="609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6000000">
            <w:pPr>
              <w:widowControl w:val="1"/>
              <w:ind/>
              <w:contextualSpacing w:val="1"/>
              <w:rPr>
                <w:color w:val="000000"/>
              </w:rPr>
            </w:pPr>
            <w:r>
              <w:rPr>
                <w:color w:val="000000"/>
              </w:rPr>
              <w:t>Качество упаковки образец ПК/МСИ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7000000">
            <w:pPr>
              <w:widowControl w:val="1"/>
              <w:ind/>
              <w:contextualSpacing w:val="1"/>
              <w:rPr>
                <w:color w:val="000000"/>
              </w:rPr>
            </w:pPr>
          </w:p>
        </w:tc>
      </w:tr>
      <w:tr>
        <w:trPr>
          <w:trHeight w:hRule="atLeast" w:val="405"/>
        </w:trPr>
        <w:tc>
          <w:tcPr>
            <w:tcW w:type="dxa" w:w="3256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/>
        </w:tc>
        <w:tc>
          <w:tcPr>
            <w:tcW w:type="dxa" w:w="609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8000000">
            <w:pPr>
              <w:widowControl w:val="1"/>
              <w:ind/>
              <w:contextualSpacing w:val="1"/>
              <w:rPr>
                <w:color w:val="000000"/>
              </w:rPr>
            </w:pPr>
            <w:r>
              <w:rPr>
                <w:color w:val="000000"/>
              </w:rPr>
              <w:t>Полнота и понятность информации, представленной в инструкции</w:t>
            </w:r>
            <w:r>
              <w:rPr>
                <w:color w:val="000000"/>
              </w:rPr>
              <w:t xml:space="preserve"> участнику раунда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9000000">
            <w:pPr>
              <w:widowControl w:val="1"/>
              <w:ind/>
              <w:contextualSpacing w:val="1"/>
              <w:rPr>
                <w:color w:val="000000"/>
              </w:rPr>
            </w:pPr>
          </w:p>
        </w:tc>
      </w:tr>
      <w:tr>
        <w:trPr>
          <w:trHeight w:hRule="atLeast" w:val="410"/>
        </w:trPr>
        <w:tc>
          <w:tcPr>
            <w:tcW w:type="dxa" w:w="3256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/>
        </w:tc>
        <w:tc>
          <w:tcPr>
            <w:tcW w:type="dxa" w:w="609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A000000">
            <w:pPr>
              <w:widowControl w:val="1"/>
              <w:ind/>
              <w:contextualSpacing w:val="1"/>
              <w:rPr>
                <w:color w:val="000000"/>
              </w:rPr>
            </w:pPr>
            <w:r>
              <w:rPr>
                <w:color w:val="000000"/>
              </w:rPr>
              <w:t xml:space="preserve">Полнота и понятность информации, представленной в отчете </w:t>
            </w:r>
            <w:r>
              <w:rPr>
                <w:color w:val="000000"/>
              </w:rPr>
              <w:t>по результатам раунда программы ПК/МСИ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B000000">
            <w:pPr>
              <w:widowControl w:val="1"/>
              <w:ind/>
              <w:contextualSpacing w:val="1"/>
              <w:rPr>
                <w:color w:val="000000"/>
              </w:rPr>
            </w:pPr>
          </w:p>
        </w:tc>
      </w:tr>
      <w:tr>
        <w:trPr>
          <w:trHeight w:hRule="atLeast" w:val="276"/>
        </w:trPr>
        <w:tc>
          <w:tcPr>
            <w:tcW w:type="dxa" w:w="3256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/>
        </w:tc>
        <w:tc>
          <w:tcPr>
            <w:tcW w:type="dxa" w:w="609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C000000">
            <w:pPr>
              <w:widowControl w:val="1"/>
              <w:ind/>
              <w:contextualSpacing w:val="1"/>
              <w:rPr>
                <w:color w:val="000000"/>
              </w:rPr>
            </w:pPr>
            <w:r>
              <w:rPr>
                <w:color w:val="000000"/>
              </w:rPr>
              <w:t>Оформление сопроводительной документации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D000000">
            <w:pPr>
              <w:widowControl w:val="1"/>
              <w:ind/>
              <w:contextualSpacing w:val="1"/>
              <w:rPr>
                <w:color w:val="000000"/>
              </w:rPr>
            </w:pPr>
          </w:p>
        </w:tc>
      </w:tr>
      <w:tr>
        <w:trPr>
          <w:trHeight w:hRule="atLeast" w:val="276"/>
        </w:trPr>
        <w:tc>
          <w:tcPr>
            <w:tcW w:type="dxa" w:w="3256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/>
        </w:tc>
        <w:tc>
          <w:tcPr>
            <w:tcW w:type="dxa" w:w="609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E000000">
            <w:pPr>
              <w:widowControl w:val="1"/>
              <w:ind/>
              <w:contextualSpacing w:val="1"/>
              <w:rPr>
                <w:color w:val="000000"/>
                <w:highlight w:val="yellow"/>
              </w:rPr>
            </w:pPr>
            <w:r>
              <w:rPr>
                <w:color w:val="000000"/>
                <w:highlight w:val="white"/>
              </w:rPr>
              <w:t>Удовлетворенность взаи</w:t>
            </w:r>
            <w:r>
              <w:rPr>
                <w:color w:val="000000"/>
              </w:rPr>
              <w:t xml:space="preserve">модействия с провайдером 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F000000">
            <w:pPr>
              <w:widowControl w:val="1"/>
              <w:ind/>
              <w:contextualSpacing w:val="1"/>
              <w:rPr>
                <w:color w:val="000000"/>
              </w:rPr>
            </w:pPr>
          </w:p>
        </w:tc>
      </w:tr>
      <w:tr>
        <w:trPr>
          <w:trHeight w:hRule="atLeast" w:val="276"/>
        </w:trPr>
        <w:tc>
          <w:tcPr>
            <w:tcW w:type="dxa" w:w="3256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/>
        </w:tc>
        <w:tc>
          <w:tcPr>
            <w:tcW w:type="dxa" w:w="609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0000000">
            <w:pPr>
              <w:widowControl w:val="1"/>
              <w:ind/>
              <w:contextualSpacing w:val="1"/>
              <w:rPr>
                <w:color w:val="000000"/>
              </w:rPr>
            </w:pPr>
            <w:r>
              <w:rPr>
                <w:color w:val="000000"/>
              </w:rPr>
              <w:t>Скорость оказания услуги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1000000">
            <w:pPr>
              <w:widowControl w:val="1"/>
              <w:ind/>
              <w:contextualSpacing w:val="1"/>
              <w:rPr>
                <w:color w:val="000000"/>
              </w:rPr>
            </w:pPr>
          </w:p>
        </w:tc>
      </w:tr>
      <w:tr>
        <w:trPr>
          <w:trHeight w:hRule="atLeast" w:val="276"/>
        </w:trPr>
        <w:tc>
          <w:tcPr>
            <w:tcW w:type="dxa" w:w="3256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/>
        </w:tc>
        <w:tc>
          <w:tcPr>
            <w:tcW w:type="dxa" w:w="609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2000000">
            <w:pPr>
              <w:widowControl w:val="1"/>
              <w:ind/>
              <w:contextualSpacing w:val="1"/>
              <w:rPr>
                <w:color w:val="000000"/>
              </w:rPr>
            </w:pPr>
            <w:r>
              <w:rPr>
                <w:color w:val="000000"/>
              </w:rPr>
              <w:t>Оценка услуги в целом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3000000">
            <w:pPr>
              <w:widowControl w:val="1"/>
              <w:ind/>
              <w:contextualSpacing w:val="1"/>
              <w:rPr>
                <w:color w:val="000000"/>
              </w:rPr>
            </w:pPr>
          </w:p>
        </w:tc>
      </w:tr>
    </w:tbl>
    <w:p w14:paraId="24000000"/>
    <w:sectPr>
      <w:pgSz w:h="16838" w:orient="portrait" w:w="11906"/>
      <w:pgMar w:bottom="1134" w:footer="708" w:gutter="0" w:header="708" w:left="1701" w:right="850" w:top="1134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numbering.xml><?xml version="1.0" encoding="utf-8"?>
<w:number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abstractNum w:abstractNumId="0">
    <w:lvl w:ilvl="0">
      <w:start w:val="1"/>
      <w:numFmt w:val="decimal"/>
      <w:suff w:val="nothing"/>
      <w:lvlText w:val=""/>
      <w:lvlJc w:val="left"/>
      <w:pPr>
        <w:widowControl w:val="1"/>
        <w:tabs>
          <w:tab w:leader="none" w:pos="0" w:val="left"/>
        </w:tabs>
        <w:ind w:hanging="432" w:left="432"/>
      </w:pPr>
    </w:lvl>
    <w:lvl w:ilvl="1">
      <w:start w:val="1"/>
      <w:numFmt w:val="decimal"/>
      <w:pStyle w:val="Style_26"/>
      <w:suff w:val="nothing"/>
      <w:lvlText w:val=""/>
      <w:lvlJc w:val="left"/>
      <w:pPr>
        <w:widowControl w:val="1"/>
        <w:tabs>
          <w:tab w:leader="none" w:pos="0" w:val="left"/>
        </w:tabs>
        <w:ind w:hanging="576" w:left="576"/>
      </w:pPr>
    </w:lvl>
    <w:lvl w:ilvl="2">
      <w:start w:val="1"/>
      <w:numFmt w:val="decimal"/>
      <w:suff w:val="nothing"/>
      <w:lvlText w:val=""/>
      <w:lvlJc w:val="left"/>
      <w:pPr>
        <w:widowControl w:val="1"/>
        <w:tabs>
          <w:tab w:leader="none" w:pos="0" w:val="left"/>
        </w:tabs>
        <w:ind w:hanging="720" w:left="720"/>
      </w:pPr>
    </w:lvl>
    <w:lvl w:ilvl="3">
      <w:start w:val="1"/>
      <w:numFmt w:val="decimal"/>
      <w:suff w:val="nothing"/>
      <w:lvlText w:val=""/>
      <w:lvlJc w:val="left"/>
      <w:pPr>
        <w:widowControl w:val="1"/>
        <w:tabs>
          <w:tab w:leader="none" w:pos="0" w:val="left"/>
        </w:tabs>
        <w:ind w:hanging="864" w:left="864"/>
      </w:pPr>
    </w:lvl>
    <w:lvl w:ilvl="4">
      <w:start w:val="1"/>
      <w:numFmt w:val="decimal"/>
      <w:suff w:val="nothing"/>
      <w:lvlText w:val=""/>
      <w:lvlJc w:val="left"/>
      <w:pPr>
        <w:widowControl w:val="1"/>
        <w:tabs>
          <w:tab w:leader="none" w:pos="0" w:val="left"/>
        </w:tabs>
        <w:ind w:hanging="1008" w:left="1008"/>
      </w:pPr>
    </w:lvl>
    <w:lvl w:ilvl="5">
      <w:start w:val="1"/>
      <w:numFmt w:val="decimal"/>
      <w:suff w:val="nothing"/>
      <w:lvlText w:val=""/>
      <w:lvlJc w:val="left"/>
      <w:pPr>
        <w:widowControl w:val="1"/>
        <w:tabs>
          <w:tab w:leader="none" w:pos="0" w:val="left"/>
        </w:tabs>
        <w:ind w:hanging="1152" w:left="1152"/>
      </w:pPr>
    </w:lvl>
    <w:lvl w:ilvl="6">
      <w:start w:val="1"/>
      <w:numFmt w:val="decimal"/>
      <w:suff w:val="nothing"/>
      <w:lvlText w:val=""/>
      <w:lvlJc w:val="left"/>
      <w:pPr>
        <w:widowControl w:val="1"/>
        <w:tabs>
          <w:tab w:leader="none" w:pos="0" w:val="left"/>
        </w:tabs>
        <w:ind w:hanging="1296" w:left="1296"/>
      </w:pPr>
    </w:lvl>
    <w:lvl w:ilvl="7">
      <w:start w:val="1"/>
      <w:numFmt w:val="decimal"/>
      <w:suff w:val="nothing"/>
      <w:lvlText w:val=""/>
      <w:lvlJc w:val="left"/>
      <w:pPr>
        <w:widowControl w:val="1"/>
        <w:tabs>
          <w:tab w:leader="none" w:pos="0" w:val="left"/>
        </w:tabs>
        <w:ind w:hanging="1440" w:left="1440"/>
      </w:pPr>
    </w:lvl>
    <w:lvl w:ilvl="8">
      <w:start w:val="1"/>
      <w:numFmt w:val="decimal"/>
      <w:suff w:val="nothing"/>
      <w:lvlText w:val=""/>
      <w:lvlJc w:val="left"/>
      <w:pPr>
        <w:widowControl w:val="1"/>
        <w:tabs>
          <w:tab w:leader="none" w:pos="0" w:val="left"/>
        </w:tabs>
        <w:ind w:hanging="1584" w:left="1584"/>
      </w:pPr>
    </w:lvl>
  </w:abstractNum>
  <w:num w:numId="1">
    <w:abstractNumId w:val="0"/>
  </w:num>
</w:numbering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widowControl w:val="1"/>
        <w:spacing w:after="160" w:before="0" w:line="259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2" w:type="paragraph">
    <w:name w:val="Normal"/>
    <w:link w:val="Style_2_ch"/>
    <w:uiPriority w:val="0"/>
    <w:qFormat/>
    <w:rPr>
      <w:rFonts w:ascii="Times New Roman" w:hAnsi="Times New Roman"/>
      <w:sz w:val="24"/>
    </w:rPr>
  </w:style>
  <w:style w:default="1" w:styleId="Style_2_ch" w:type="character">
    <w:name w:val="Normal"/>
    <w:link w:val="Style_2"/>
    <w:rPr>
      <w:rFonts w:ascii="Times New Roman" w:hAnsi="Times New Roman"/>
      <w:sz w:val="24"/>
    </w:rPr>
  </w:style>
  <w:style w:styleId="Style_3" w:type="paragraph">
    <w:name w:val="toc 2"/>
    <w:next w:val="Style_2"/>
    <w:link w:val="Style_3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3_ch" w:type="character">
    <w:name w:val="toc 2"/>
    <w:link w:val="Style_3"/>
    <w:rPr>
      <w:rFonts w:ascii="XO Thames" w:hAnsi="XO Thames"/>
      <w:sz w:val="28"/>
    </w:rPr>
  </w:style>
  <w:style w:styleId="Style_4" w:type="paragraph">
    <w:name w:val="toc 4"/>
    <w:next w:val="Style_2"/>
    <w:link w:val="Style_4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4_ch" w:type="character">
    <w:name w:val="toc 4"/>
    <w:link w:val="Style_4"/>
    <w:rPr>
      <w:rFonts w:ascii="XO Thames" w:hAnsi="XO Thames"/>
      <w:sz w:val="28"/>
    </w:rPr>
  </w:style>
  <w:style w:styleId="Style_5" w:type="paragraph">
    <w:name w:val="toc 6"/>
    <w:next w:val="Style_2"/>
    <w:link w:val="Style_5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5_ch" w:type="character">
    <w:name w:val="toc 6"/>
    <w:link w:val="Style_5"/>
    <w:rPr>
      <w:rFonts w:ascii="XO Thames" w:hAnsi="XO Thames"/>
      <w:sz w:val="28"/>
    </w:rPr>
  </w:style>
  <w:style w:styleId="Style_6" w:type="paragraph">
    <w:name w:val="toc 7"/>
    <w:next w:val="Style_2"/>
    <w:link w:val="Style_6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6_ch" w:type="character">
    <w:name w:val="toc 7"/>
    <w:link w:val="Style_6"/>
    <w:rPr>
      <w:rFonts w:ascii="XO Thames" w:hAnsi="XO Thames"/>
      <w:sz w:val="28"/>
    </w:rPr>
  </w:style>
  <w:style w:styleId="Style_7" w:type="paragraph">
    <w:name w:val="Default Paragraph Font"/>
    <w:link w:val="Style_7_ch"/>
  </w:style>
  <w:style w:styleId="Style_7_ch" w:type="character">
    <w:name w:val="Default Paragraph Font"/>
    <w:link w:val="Style_7"/>
  </w:style>
  <w:style w:styleId="Style_8" w:type="paragraph">
    <w:name w:val="Endnote"/>
    <w:link w:val="Style_8_ch"/>
    <w:pPr>
      <w:ind w:firstLine="851" w:left="0"/>
      <w:jc w:val="both"/>
    </w:pPr>
    <w:rPr>
      <w:rFonts w:ascii="XO Thames" w:hAnsi="XO Thames"/>
      <w:sz w:val="22"/>
    </w:rPr>
  </w:style>
  <w:style w:styleId="Style_8_ch" w:type="character">
    <w:name w:val="Endnote"/>
    <w:link w:val="Style_8"/>
    <w:rPr>
      <w:rFonts w:ascii="XO Thames" w:hAnsi="XO Thames"/>
      <w:sz w:val="22"/>
    </w:rPr>
  </w:style>
  <w:style w:styleId="Style_9" w:type="paragraph">
    <w:name w:val="heading 3"/>
    <w:next w:val="Style_2"/>
    <w:link w:val="Style_9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9_ch" w:type="character">
    <w:name w:val="heading 3"/>
    <w:link w:val="Style_9"/>
    <w:rPr>
      <w:rFonts w:ascii="XO Thames" w:hAnsi="XO Thames"/>
      <w:b w:val="1"/>
      <w:sz w:val="26"/>
    </w:rPr>
  </w:style>
  <w:style w:styleId="Style_10" w:type="paragraph">
    <w:name w:val="footnote reference"/>
    <w:link w:val="Style_10_ch"/>
    <w:rPr>
      <w:vertAlign w:val="superscript"/>
    </w:rPr>
  </w:style>
  <w:style w:styleId="Style_10_ch" w:type="character">
    <w:name w:val="footnote reference"/>
    <w:link w:val="Style_10"/>
    <w:rPr>
      <w:vertAlign w:val="superscript"/>
    </w:rPr>
  </w:style>
  <w:style w:styleId="Style_11" w:type="paragraph">
    <w:name w:val="toc 3"/>
    <w:next w:val="Style_2"/>
    <w:link w:val="Style_11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11_ch" w:type="character">
    <w:name w:val="toc 3"/>
    <w:link w:val="Style_11"/>
    <w:rPr>
      <w:rFonts w:ascii="XO Thames" w:hAnsi="XO Thames"/>
      <w:sz w:val="28"/>
    </w:rPr>
  </w:style>
  <w:style w:styleId="Style_12" w:type="paragraph">
    <w:name w:val="Default"/>
    <w:link w:val="Style_12_ch"/>
    <w:pPr>
      <w:widowControl w:val="1"/>
      <w:spacing w:after="0" w:line="240" w:lineRule="auto"/>
      <w:ind/>
    </w:pPr>
    <w:rPr>
      <w:rFonts w:ascii="Arial" w:hAnsi="Arial"/>
      <w:color w:val="000000"/>
      <w:sz w:val="24"/>
    </w:rPr>
  </w:style>
  <w:style w:styleId="Style_12_ch" w:type="character">
    <w:name w:val="Default"/>
    <w:link w:val="Style_12"/>
    <w:rPr>
      <w:rFonts w:ascii="Arial" w:hAnsi="Arial"/>
      <w:color w:val="000000"/>
      <w:sz w:val="24"/>
    </w:rPr>
  </w:style>
  <w:style w:styleId="Style_13" w:type="paragraph">
    <w:name w:val="heading 5"/>
    <w:next w:val="Style_2"/>
    <w:link w:val="Style_13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3_ch" w:type="character">
    <w:name w:val="heading 5"/>
    <w:link w:val="Style_13"/>
    <w:rPr>
      <w:rFonts w:ascii="XO Thames" w:hAnsi="XO Thames"/>
      <w:b w:val="1"/>
      <w:sz w:val="22"/>
    </w:rPr>
  </w:style>
  <w:style w:styleId="Style_14" w:type="paragraph">
    <w:name w:val="heading 1"/>
    <w:next w:val="Style_2"/>
    <w:link w:val="Style_14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4_ch" w:type="character">
    <w:name w:val="heading 1"/>
    <w:link w:val="Style_14"/>
    <w:rPr>
      <w:rFonts w:ascii="XO Thames" w:hAnsi="XO Thames"/>
      <w:b w:val="1"/>
      <w:sz w:val="32"/>
    </w:rPr>
  </w:style>
  <w:style w:styleId="Style_15" w:type="paragraph">
    <w:name w:val="Hyperlink"/>
    <w:link w:val="Style_15_ch"/>
    <w:rPr>
      <w:color w:val="0000FF"/>
      <w:u w:val="single"/>
    </w:rPr>
  </w:style>
  <w:style w:styleId="Style_15_ch" w:type="character">
    <w:name w:val="Hyperlink"/>
    <w:link w:val="Style_15"/>
    <w:rPr>
      <w:color w:val="0000FF"/>
      <w:u w:val="single"/>
    </w:rPr>
  </w:style>
  <w:style w:styleId="Style_16" w:type="paragraph">
    <w:name w:val="Footnote"/>
    <w:basedOn w:val="Style_2"/>
    <w:link w:val="Style_16_ch"/>
    <w:pPr>
      <w:widowControl w:val="1"/>
      <w:pBdr>
        <w:top w:color="000000" w:space="0" w:sz="4" w:val="nil"/>
        <w:left w:color="000000" w:space="0" w:sz="4" w:val="nil"/>
        <w:bottom w:color="000000" w:space="0" w:sz="4" w:val="nil"/>
        <w:right w:color="000000" w:space="0" w:sz="4" w:val="nil"/>
        <w:between w:space="0" w:val="nil"/>
      </w:pBdr>
      <w:ind/>
      <w:jc w:val="both"/>
    </w:pPr>
    <w:rPr>
      <w:rFonts w:ascii="Calibri" w:hAnsi="Calibri"/>
      <w:sz w:val="28"/>
    </w:rPr>
  </w:style>
  <w:style w:styleId="Style_16_ch" w:type="character">
    <w:name w:val="Footnote"/>
    <w:basedOn w:val="Style_2_ch"/>
    <w:link w:val="Style_16"/>
    <w:rPr>
      <w:rFonts w:ascii="Calibri" w:hAnsi="Calibri"/>
      <w:sz w:val="28"/>
    </w:rPr>
  </w:style>
  <w:style w:styleId="Style_17" w:type="paragraph">
    <w:name w:val="toc 1"/>
    <w:next w:val="Style_2"/>
    <w:link w:val="Style_17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7_ch" w:type="character">
    <w:name w:val="toc 1"/>
    <w:link w:val="Style_17"/>
    <w:rPr>
      <w:rFonts w:ascii="XO Thames" w:hAnsi="XO Thames"/>
      <w:b w:val="1"/>
      <w:sz w:val="28"/>
    </w:rPr>
  </w:style>
  <w:style w:styleId="Style_18" w:type="paragraph">
    <w:name w:val="Header and Footer"/>
    <w:link w:val="Style_18_ch"/>
    <w:pPr>
      <w:spacing w:line="240" w:lineRule="auto"/>
      <w:ind/>
      <w:jc w:val="both"/>
    </w:pPr>
    <w:rPr>
      <w:rFonts w:ascii="XO Thames" w:hAnsi="XO Thames"/>
      <w:sz w:val="28"/>
    </w:rPr>
  </w:style>
  <w:style w:styleId="Style_18_ch" w:type="character">
    <w:name w:val="Header and Footer"/>
    <w:link w:val="Style_18"/>
    <w:rPr>
      <w:rFonts w:ascii="XO Thames" w:hAnsi="XO Thames"/>
      <w:sz w:val="28"/>
    </w:rPr>
  </w:style>
  <w:style w:styleId="Style_19" w:type="paragraph">
    <w:name w:val="toc 9"/>
    <w:next w:val="Style_2"/>
    <w:link w:val="Style_19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19_ch" w:type="character">
    <w:name w:val="toc 9"/>
    <w:link w:val="Style_19"/>
    <w:rPr>
      <w:rFonts w:ascii="XO Thames" w:hAnsi="XO Thames"/>
      <w:sz w:val="28"/>
    </w:rPr>
  </w:style>
  <w:style w:styleId="Style_20" w:type="paragraph">
    <w:name w:val="toc 8"/>
    <w:next w:val="Style_2"/>
    <w:link w:val="Style_20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20_ch" w:type="character">
    <w:name w:val="toc 8"/>
    <w:link w:val="Style_20"/>
    <w:rPr>
      <w:rFonts w:ascii="XO Thames" w:hAnsi="XO Thames"/>
      <w:sz w:val="28"/>
    </w:rPr>
  </w:style>
  <w:style w:styleId="Style_21" w:type="paragraph">
    <w:name w:val="toc 5"/>
    <w:next w:val="Style_2"/>
    <w:link w:val="Style_21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21_ch" w:type="character">
    <w:name w:val="toc 5"/>
    <w:link w:val="Style_21"/>
    <w:rPr>
      <w:rFonts w:ascii="XO Thames" w:hAnsi="XO Thames"/>
      <w:sz w:val="28"/>
    </w:rPr>
  </w:style>
  <w:style w:styleId="Style_22" w:type="paragraph">
    <w:name w:val="0.приложение"/>
    <w:link w:val="Style_22_ch"/>
    <w:pPr>
      <w:keepNext w:val="1"/>
      <w:widowControl w:val="1"/>
      <w:pBdr>
        <w:top w:color="000000" w:space="0" w:sz="4" w:val="nil"/>
        <w:left w:color="000000" w:space="0" w:sz="4" w:val="nil"/>
        <w:bottom w:color="000000" w:space="0" w:sz="4" w:val="nil"/>
        <w:right w:color="000000" w:space="0" w:sz="4" w:val="nil"/>
        <w:between w:space="0" w:val="nil"/>
      </w:pBdr>
      <w:spacing w:after="0" w:line="276" w:lineRule="auto"/>
      <w:ind/>
      <w:jc w:val="center"/>
      <w:outlineLvl w:val="0"/>
    </w:pPr>
    <w:rPr>
      <w:rFonts w:ascii="Arial" w:hAnsi="Arial"/>
      <w:b w:val="1"/>
      <w:sz w:val="24"/>
    </w:rPr>
  </w:style>
  <w:style w:styleId="Style_22_ch" w:type="character">
    <w:name w:val="0.приложение"/>
    <w:link w:val="Style_22"/>
    <w:rPr>
      <w:rFonts w:ascii="Arial" w:hAnsi="Arial"/>
      <w:b w:val="1"/>
      <w:sz w:val="24"/>
    </w:rPr>
  </w:style>
  <w:style w:styleId="Style_23" w:type="paragraph">
    <w:name w:val="Subtitle"/>
    <w:next w:val="Style_2"/>
    <w:link w:val="Style_23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23_ch" w:type="character">
    <w:name w:val="Subtitle"/>
    <w:link w:val="Style_23"/>
    <w:rPr>
      <w:rFonts w:ascii="XO Thames" w:hAnsi="XO Thames"/>
      <w:i w:val="1"/>
      <w:sz w:val="24"/>
    </w:rPr>
  </w:style>
  <w:style w:styleId="Style_24" w:type="paragraph">
    <w:name w:val="Title"/>
    <w:next w:val="Style_2"/>
    <w:link w:val="Style_24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4_ch" w:type="character">
    <w:name w:val="Title"/>
    <w:link w:val="Style_24"/>
    <w:rPr>
      <w:rFonts w:ascii="XO Thames" w:hAnsi="XO Thames"/>
      <w:b w:val="1"/>
      <w:caps w:val="1"/>
      <w:sz w:val="40"/>
    </w:rPr>
  </w:style>
  <w:style w:styleId="Style_25" w:type="paragraph">
    <w:name w:val="heading 4"/>
    <w:next w:val="Style_2"/>
    <w:link w:val="Style_25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5_ch" w:type="character">
    <w:name w:val="heading 4"/>
    <w:link w:val="Style_25"/>
    <w:rPr>
      <w:rFonts w:ascii="XO Thames" w:hAnsi="XO Thames"/>
      <w:b w:val="1"/>
      <w:sz w:val="24"/>
    </w:rPr>
  </w:style>
  <w:style w:styleId="Style_26" w:type="paragraph">
    <w:name w:val="heading 2"/>
    <w:basedOn w:val="Style_2"/>
    <w:next w:val="Style_2"/>
    <w:link w:val="Style_26_ch"/>
    <w:uiPriority w:val="9"/>
    <w:qFormat/>
    <w:pPr>
      <w:keepNext w:val="1"/>
      <w:widowControl w:val="1"/>
      <w:numPr>
        <w:ilvl w:val="1"/>
        <w:numId w:val="1"/>
      </w:numPr>
      <w:spacing w:after="0" w:line="240" w:lineRule="auto"/>
      <w:ind/>
      <w:jc w:val="center"/>
      <w:outlineLvl w:val="1"/>
    </w:pPr>
    <w:rPr>
      <w:sz w:val="28"/>
    </w:rPr>
  </w:style>
  <w:style w:styleId="Style_26_ch" w:type="character">
    <w:name w:val="heading 2"/>
    <w:basedOn w:val="Style_2_ch"/>
    <w:link w:val="Style_26"/>
    <w:rPr>
      <w:sz w:val="28"/>
    </w:rPr>
  </w:style>
  <w:style w:styleId="Style_27" w:type="table">
    <w:name w:val="TableStyle2"/>
    <w:pPr>
      <w:widowControl w:val="1"/>
      <w:spacing w:after="0" w:line="240" w:lineRule="auto"/>
      <w:ind/>
    </w:pPr>
    <w:rPr>
      <w:rFonts w:ascii="Arial" w:hAnsi="Arial"/>
      <w:sz w:val="16"/>
    </w:rPr>
    <w:tblPr>
      <w:tblCellMar>
        <w:top w:type="dxa" w:w="0"/>
        <w:left w:type="dxa" w:w="0"/>
        <w:bottom w:type="dxa" w:w="0"/>
        <w:right w:type="dxa" w:w="0"/>
      </w:tblCellMar>
    </w:tblPr>
  </w:style>
  <w:style w:default="1" w:styleId="Style_28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styleId="Style_1" w:type="table">
    <w:name w:val="Table Grid"/>
    <w:basedOn w:val="Style_28"/>
    <w:pPr>
      <w:widowControl w:val="1"/>
      <w:spacing w:after="0" w:line="240" w:lineRule="auto"/>
      <w:ind/>
    </w:pPr>
    <w:tblPr>
      <w:tblInd w:type="dxa" w:w="0"/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4" Target="stylesWithEffects.xml" Type="http://schemas.microsoft.com/office/2007/relationships/stylesWithEffects"/>
  <Relationship Id="rId1" Target="fontTable.xml" Type="http://schemas.openxmlformats.org/officeDocument/2006/relationships/fontTable"/>
  <Relationship Id="rId7" Target="numbering.xml" Type="http://schemas.openxmlformats.org/officeDocument/2006/relationships/numbering"/>
  <Relationship Id="rId5" Target="webSettings.xml" Type="http://schemas.openxmlformats.org/officeDocument/2006/relationships/webSettings"/>
  <Relationship Id="rId3" Target="styles.xml" Type="http://schemas.openxmlformats.org/officeDocument/2006/relationships/styles"/>
  <Relationship Id="rId2" Target="settings.xml" Type="http://schemas.openxmlformats.org/officeDocument/2006/relationships/settings"/>
  <Relationship Id="rId6" Target="theme/theme1.xml" Type="http://schemas.openxmlformats.org/officeDocument/2006/relationships/theme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MyOffice-CoreFramework-Windows/39-1403.1128.10324.1037.1@e8ff5f727e334356b492384cca4cf28c85978f47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2026-08-21T08:43:08Z</dcterms:created>
  <dcterms:modified xsi:type="dcterms:W3CDTF">2026-08-21T08:43:08Z</dcterms:modified>
</cp:coreProperties>
</file>